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4D8" w:rsidRDefault="003A34D8"/>
    <w:p w:rsidR="003A6843" w:rsidRDefault="003A6843" w:rsidP="0032475F">
      <w:pPr>
        <w:pStyle w:val="Heading1"/>
      </w:pPr>
    </w:p>
    <w:p w:rsidR="008A5EFB" w:rsidRPr="0032475F" w:rsidRDefault="008A5EFB" w:rsidP="0032475F">
      <w:pPr>
        <w:pStyle w:val="Heading1"/>
      </w:pPr>
      <w:bookmarkStart w:id="0" w:name="_GoBack"/>
      <w:bookmarkEnd w:id="0"/>
      <w:r w:rsidRPr="0032475F">
        <w:t>2017-2019</w:t>
      </w:r>
      <w:r w:rsidR="00255937" w:rsidRPr="0032475F">
        <w:t xml:space="preserve"> Draft New</w:t>
      </w:r>
      <w:r w:rsidRPr="0032475F">
        <w:t xml:space="preserve"> Initiatives Cross-walked with ICAT Capacity areas</w:t>
      </w:r>
    </w:p>
    <w:p w:rsidR="008A5EFB" w:rsidRDefault="008A5EFB" w:rsidP="00AF020D">
      <w:pPr>
        <w:pStyle w:val="Header"/>
        <w:jc w:val="center"/>
      </w:pPr>
    </w:p>
    <w:tbl>
      <w:tblPr>
        <w:tblStyle w:val="TableGrid"/>
        <w:tblW w:w="13585" w:type="dxa"/>
        <w:tblLayout w:type="fixed"/>
        <w:tblLook w:val="04A0" w:firstRow="1" w:lastRow="0" w:firstColumn="1" w:lastColumn="0" w:noHBand="0" w:noVBand="1"/>
      </w:tblPr>
      <w:tblGrid>
        <w:gridCol w:w="3595"/>
        <w:gridCol w:w="1388"/>
        <w:gridCol w:w="1389"/>
        <w:gridCol w:w="1388"/>
        <w:gridCol w:w="1389"/>
        <w:gridCol w:w="1388"/>
        <w:gridCol w:w="1389"/>
        <w:gridCol w:w="1659"/>
      </w:tblGrid>
      <w:tr w:rsidR="009B669C" w:rsidTr="0032475F">
        <w:trPr>
          <w:tblHeader/>
        </w:trPr>
        <w:tc>
          <w:tcPr>
            <w:tcW w:w="3595" w:type="dxa"/>
            <w:shd w:val="clear" w:color="auto" w:fill="auto"/>
          </w:tcPr>
          <w:p w:rsidR="009B669C" w:rsidRPr="008A4F40" w:rsidRDefault="009B669C" w:rsidP="00EC31AF">
            <w:pPr>
              <w:pStyle w:val="Header"/>
            </w:pPr>
            <w:r w:rsidRPr="0032475F">
              <w:rPr>
                <w:highlight w:val="cyan"/>
              </w:rPr>
              <w:t>ICAT Capacity Area</w:t>
            </w:r>
          </w:p>
        </w:tc>
        <w:tc>
          <w:tcPr>
            <w:tcW w:w="1388" w:type="dxa"/>
            <w:shd w:val="clear" w:color="auto" w:fill="D9D9D9" w:themeFill="background1" w:themeFillShade="D9"/>
          </w:tcPr>
          <w:p w:rsidR="009B669C" w:rsidRDefault="009B669C" w:rsidP="00EC31AF">
            <w:pPr>
              <w:pStyle w:val="Header"/>
            </w:pPr>
            <w:r>
              <w:t xml:space="preserve">Culture of Evidence (leverage CORE, VFA &amp; </w:t>
            </w:r>
            <w:proofErr w:type="spellStart"/>
            <w:r>
              <w:t>disag</w:t>
            </w:r>
            <w:proofErr w:type="spellEnd"/>
            <w:r>
              <w:t xml:space="preserve"> data)</w:t>
            </w:r>
          </w:p>
        </w:tc>
        <w:tc>
          <w:tcPr>
            <w:tcW w:w="1389" w:type="dxa"/>
            <w:shd w:val="clear" w:color="auto" w:fill="D9D9D9" w:themeFill="background1" w:themeFillShade="D9"/>
          </w:tcPr>
          <w:p w:rsidR="009B669C" w:rsidRDefault="009B669C" w:rsidP="00EC31AF">
            <w:pPr>
              <w:pStyle w:val="Header"/>
            </w:pPr>
            <w:r>
              <w:t>Structured Prof Dev Program include cult comp</w:t>
            </w:r>
            <w:r w:rsidR="0032475F">
              <w:t>*</w:t>
            </w:r>
          </w:p>
        </w:tc>
        <w:tc>
          <w:tcPr>
            <w:tcW w:w="1388" w:type="dxa"/>
            <w:shd w:val="clear" w:color="auto" w:fill="D9D9D9" w:themeFill="background1" w:themeFillShade="D9"/>
          </w:tcPr>
          <w:p w:rsidR="009B669C" w:rsidRDefault="009B669C" w:rsidP="00EC31AF">
            <w:pPr>
              <w:pStyle w:val="Header"/>
            </w:pPr>
            <w:r>
              <w:t>Develop time</w:t>
            </w:r>
            <w:r w:rsidR="00AF020D">
              <w:t xml:space="preserve">, place &amp; structures for </w:t>
            </w:r>
            <w:proofErr w:type="spellStart"/>
            <w:r w:rsidR="00AF020D">
              <w:t>fac</w:t>
            </w:r>
            <w:proofErr w:type="spellEnd"/>
            <w:r w:rsidR="00AF020D">
              <w:t xml:space="preserve"> 2 </w:t>
            </w:r>
            <w:proofErr w:type="spellStart"/>
            <w:r w:rsidR="00AF020D">
              <w:t>fac</w:t>
            </w:r>
            <w:proofErr w:type="spellEnd"/>
            <w:r>
              <w:t xml:space="preserve"> engagement</w:t>
            </w:r>
          </w:p>
        </w:tc>
        <w:tc>
          <w:tcPr>
            <w:tcW w:w="1389" w:type="dxa"/>
            <w:shd w:val="clear" w:color="auto" w:fill="D9D9D9" w:themeFill="background1" w:themeFillShade="D9"/>
          </w:tcPr>
          <w:p w:rsidR="009B669C" w:rsidRDefault="009B669C" w:rsidP="00EC31AF">
            <w:pPr>
              <w:pStyle w:val="Header"/>
            </w:pPr>
            <w:r>
              <w:t>Link planning to budget</w:t>
            </w:r>
            <w:r w:rsidR="00AF020D">
              <w:t xml:space="preserve"> and resources</w:t>
            </w:r>
            <w:r w:rsidR="0032475F">
              <w:t>*</w:t>
            </w:r>
          </w:p>
        </w:tc>
        <w:tc>
          <w:tcPr>
            <w:tcW w:w="1388" w:type="dxa"/>
            <w:shd w:val="clear" w:color="auto" w:fill="D9D9D9" w:themeFill="background1" w:themeFillShade="D9"/>
          </w:tcPr>
          <w:p w:rsidR="009B669C" w:rsidRDefault="009B669C" w:rsidP="00EC31AF">
            <w:pPr>
              <w:pStyle w:val="Header"/>
            </w:pPr>
            <w:r>
              <w:t>Select appropriate Core Theme metrics and targets</w:t>
            </w:r>
          </w:p>
        </w:tc>
        <w:tc>
          <w:tcPr>
            <w:tcW w:w="1389" w:type="dxa"/>
            <w:shd w:val="clear" w:color="auto" w:fill="D9D9D9" w:themeFill="background1" w:themeFillShade="D9"/>
          </w:tcPr>
          <w:p w:rsidR="009B669C" w:rsidRDefault="009B669C" w:rsidP="00EC31AF">
            <w:pPr>
              <w:pStyle w:val="Header"/>
            </w:pPr>
            <w:r>
              <w:t>Enhance com regarding student success</w:t>
            </w:r>
          </w:p>
        </w:tc>
        <w:tc>
          <w:tcPr>
            <w:tcW w:w="1659" w:type="dxa"/>
            <w:shd w:val="clear" w:color="auto" w:fill="D9D9D9" w:themeFill="background1" w:themeFillShade="D9"/>
          </w:tcPr>
          <w:p w:rsidR="009B669C" w:rsidRDefault="009B669C" w:rsidP="00EC31AF">
            <w:pPr>
              <w:pStyle w:val="Header"/>
            </w:pPr>
            <w:r>
              <w:t>Implement Aviso</w:t>
            </w:r>
          </w:p>
        </w:tc>
      </w:tr>
      <w:tr w:rsidR="009B669C" w:rsidTr="0032475F">
        <w:tc>
          <w:tcPr>
            <w:tcW w:w="3595" w:type="dxa"/>
            <w:shd w:val="clear" w:color="auto" w:fill="auto"/>
          </w:tcPr>
          <w:p w:rsidR="009B669C" w:rsidRPr="0032475F" w:rsidRDefault="009B669C" w:rsidP="00EC31AF">
            <w:pPr>
              <w:pStyle w:val="Header"/>
            </w:pPr>
            <w:r w:rsidRPr="0032475F">
              <w:rPr>
                <w:highlight w:val="cyan"/>
              </w:rPr>
              <w:t>Leadership &amp; Vision</w:t>
            </w:r>
            <w:r w:rsidR="0032475F">
              <w:t xml:space="preserve">: </w:t>
            </w:r>
            <w:r>
              <w:rPr>
                <w:i/>
              </w:rPr>
              <w:t>The commitment and collaboration of the institution’s leadership with respect to student success and the clarity of the vision for desired change.</w:t>
            </w:r>
            <w:r w:rsidR="00AF020D">
              <w:rPr>
                <w:i/>
              </w:rPr>
              <w:t xml:space="preserve"> </w:t>
            </w:r>
            <w:r w:rsidR="00AF020D" w:rsidRPr="0032475F">
              <w:rPr>
                <w:i/>
                <w:highlight w:val="yellow"/>
              </w:rPr>
              <w:t>(3.2 to __)</w:t>
            </w:r>
          </w:p>
        </w:tc>
        <w:tc>
          <w:tcPr>
            <w:tcW w:w="1388" w:type="dxa"/>
          </w:tcPr>
          <w:p w:rsidR="009B669C" w:rsidRDefault="00AF020D" w:rsidP="00EC31AF">
            <w:pPr>
              <w:pStyle w:val="Header"/>
            </w:pPr>
            <w:r>
              <w:t>X</w:t>
            </w:r>
          </w:p>
        </w:tc>
        <w:tc>
          <w:tcPr>
            <w:tcW w:w="1389" w:type="dxa"/>
          </w:tcPr>
          <w:p w:rsidR="009B669C" w:rsidRDefault="009B669C" w:rsidP="00EC31AF">
            <w:pPr>
              <w:pStyle w:val="Header"/>
            </w:pPr>
          </w:p>
        </w:tc>
        <w:tc>
          <w:tcPr>
            <w:tcW w:w="1388" w:type="dxa"/>
          </w:tcPr>
          <w:p w:rsidR="009B669C" w:rsidRDefault="009B669C" w:rsidP="00EC31AF">
            <w:pPr>
              <w:pStyle w:val="Header"/>
            </w:pPr>
          </w:p>
        </w:tc>
        <w:tc>
          <w:tcPr>
            <w:tcW w:w="1389" w:type="dxa"/>
          </w:tcPr>
          <w:p w:rsidR="009B669C" w:rsidRDefault="00AF020D" w:rsidP="00EC31AF">
            <w:pPr>
              <w:pStyle w:val="Header"/>
            </w:pPr>
            <w:r>
              <w:t>X</w:t>
            </w:r>
          </w:p>
        </w:tc>
        <w:tc>
          <w:tcPr>
            <w:tcW w:w="1388" w:type="dxa"/>
          </w:tcPr>
          <w:p w:rsidR="009B669C" w:rsidRDefault="009B669C" w:rsidP="00EC31AF">
            <w:pPr>
              <w:pStyle w:val="Header"/>
            </w:pPr>
          </w:p>
        </w:tc>
        <w:tc>
          <w:tcPr>
            <w:tcW w:w="1389" w:type="dxa"/>
          </w:tcPr>
          <w:p w:rsidR="009B669C" w:rsidRDefault="009B669C" w:rsidP="00EC31AF">
            <w:pPr>
              <w:pStyle w:val="Header"/>
            </w:pPr>
          </w:p>
        </w:tc>
        <w:tc>
          <w:tcPr>
            <w:tcW w:w="1659" w:type="dxa"/>
          </w:tcPr>
          <w:p w:rsidR="009B669C" w:rsidRDefault="009B669C" w:rsidP="00EC31AF">
            <w:pPr>
              <w:pStyle w:val="Header"/>
            </w:pPr>
          </w:p>
        </w:tc>
      </w:tr>
      <w:tr w:rsidR="009B669C" w:rsidTr="0032475F">
        <w:tc>
          <w:tcPr>
            <w:tcW w:w="3595" w:type="dxa"/>
            <w:shd w:val="clear" w:color="auto" w:fill="auto"/>
          </w:tcPr>
          <w:p w:rsidR="009B669C" w:rsidRPr="0032475F" w:rsidRDefault="009B669C" w:rsidP="00EC31AF">
            <w:pPr>
              <w:pStyle w:val="Header"/>
            </w:pPr>
            <w:r w:rsidRPr="0032475F">
              <w:rPr>
                <w:highlight w:val="cyan"/>
              </w:rPr>
              <w:t>Data &amp; Technology</w:t>
            </w:r>
            <w:r w:rsidR="0032475F">
              <w:t xml:space="preserve">: </w:t>
            </w:r>
            <w:r>
              <w:rPr>
                <w:i/>
              </w:rPr>
              <w:t>The institution’s capacity to collect, access, analyze and use data to inform decisions and to use powerful technology to support student success.</w:t>
            </w:r>
            <w:r w:rsidR="00AF020D">
              <w:rPr>
                <w:i/>
              </w:rPr>
              <w:t xml:space="preserve"> </w:t>
            </w:r>
            <w:r w:rsidR="00AF020D" w:rsidRPr="0032475F">
              <w:rPr>
                <w:i/>
                <w:highlight w:val="yellow"/>
              </w:rPr>
              <w:t>(2.4 to __)</w:t>
            </w:r>
          </w:p>
        </w:tc>
        <w:tc>
          <w:tcPr>
            <w:tcW w:w="1388" w:type="dxa"/>
          </w:tcPr>
          <w:p w:rsidR="009B669C" w:rsidRDefault="009B669C" w:rsidP="00EC31AF">
            <w:pPr>
              <w:pStyle w:val="Header"/>
            </w:pPr>
            <w:r>
              <w:t>X</w:t>
            </w:r>
          </w:p>
        </w:tc>
        <w:tc>
          <w:tcPr>
            <w:tcW w:w="1389" w:type="dxa"/>
          </w:tcPr>
          <w:p w:rsidR="009B669C" w:rsidRDefault="009B669C" w:rsidP="00EC31AF">
            <w:pPr>
              <w:pStyle w:val="Header"/>
            </w:pPr>
          </w:p>
        </w:tc>
        <w:tc>
          <w:tcPr>
            <w:tcW w:w="1388" w:type="dxa"/>
          </w:tcPr>
          <w:p w:rsidR="009B669C" w:rsidRDefault="009B669C" w:rsidP="00EC31AF">
            <w:pPr>
              <w:pStyle w:val="Header"/>
            </w:pPr>
          </w:p>
        </w:tc>
        <w:tc>
          <w:tcPr>
            <w:tcW w:w="1389" w:type="dxa"/>
          </w:tcPr>
          <w:p w:rsidR="009B669C" w:rsidRDefault="009B669C" w:rsidP="00EC31AF">
            <w:pPr>
              <w:pStyle w:val="Header"/>
            </w:pPr>
          </w:p>
        </w:tc>
        <w:tc>
          <w:tcPr>
            <w:tcW w:w="1388" w:type="dxa"/>
          </w:tcPr>
          <w:p w:rsidR="009B669C" w:rsidRDefault="009B669C" w:rsidP="00EC31AF">
            <w:pPr>
              <w:pStyle w:val="Header"/>
            </w:pPr>
          </w:p>
        </w:tc>
        <w:tc>
          <w:tcPr>
            <w:tcW w:w="1389" w:type="dxa"/>
          </w:tcPr>
          <w:p w:rsidR="009B669C" w:rsidRDefault="009B669C" w:rsidP="00EC31AF">
            <w:pPr>
              <w:pStyle w:val="Header"/>
            </w:pPr>
          </w:p>
        </w:tc>
        <w:tc>
          <w:tcPr>
            <w:tcW w:w="1659" w:type="dxa"/>
          </w:tcPr>
          <w:p w:rsidR="009B669C" w:rsidRDefault="00AF020D" w:rsidP="00EC31AF">
            <w:pPr>
              <w:pStyle w:val="Header"/>
            </w:pPr>
            <w:r>
              <w:t>X</w:t>
            </w:r>
          </w:p>
        </w:tc>
      </w:tr>
      <w:tr w:rsidR="009B669C" w:rsidTr="0032475F">
        <w:tc>
          <w:tcPr>
            <w:tcW w:w="3595" w:type="dxa"/>
            <w:shd w:val="clear" w:color="auto" w:fill="auto"/>
          </w:tcPr>
          <w:p w:rsidR="00AF020D" w:rsidRPr="0032475F" w:rsidRDefault="009B669C" w:rsidP="00EC31AF">
            <w:pPr>
              <w:pStyle w:val="Header"/>
            </w:pPr>
            <w:r w:rsidRPr="0032475F">
              <w:rPr>
                <w:highlight w:val="cyan"/>
              </w:rPr>
              <w:t>Equity</w:t>
            </w:r>
            <w:r w:rsidR="0032475F">
              <w:t xml:space="preserve">: </w:t>
            </w:r>
            <w:r>
              <w:rPr>
                <w:i/>
              </w:rPr>
              <w:t>The commitment, capabilities, and experiences of an institution to fairly serve low income students, students of color, and other at-risk student populations with respect to access, success and campus climate.</w:t>
            </w:r>
          </w:p>
          <w:p w:rsidR="009B669C" w:rsidRPr="00255937" w:rsidRDefault="00AF020D" w:rsidP="00EC31AF">
            <w:pPr>
              <w:pStyle w:val="Header"/>
              <w:rPr>
                <w:i/>
              </w:rPr>
            </w:pPr>
            <w:r w:rsidRPr="0032475F">
              <w:rPr>
                <w:i/>
                <w:highlight w:val="yellow"/>
              </w:rPr>
              <w:t>(2.6 to _)</w:t>
            </w:r>
          </w:p>
        </w:tc>
        <w:tc>
          <w:tcPr>
            <w:tcW w:w="1388" w:type="dxa"/>
          </w:tcPr>
          <w:p w:rsidR="009B669C" w:rsidRDefault="009B669C" w:rsidP="00EC31AF">
            <w:pPr>
              <w:pStyle w:val="Header"/>
            </w:pPr>
            <w:r>
              <w:t>X</w:t>
            </w:r>
          </w:p>
        </w:tc>
        <w:tc>
          <w:tcPr>
            <w:tcW w:w="1389" w:type="dxa"/>
          </w:tcPr>
          <w:p w:rsidR="009B669C" w:rsidRDefault="00AF020D" w:rsidP="00EC31AF">
            <w:pPr>
              <w:pStyle w:val="Header"/>
            </w:pPr>
            <w:r>
              <w:t>X</w:t>
            </w:r>
          </w:p>
        </w:tc>
        <w:tc>
          <w:tcPr>
            <w:tcW w:w="1388" w:type="dxa"/>
          </w:tcPr>
          <w:p w:rsidR="009B669C" w:rsidRDefault="009B669C" w:rsidP="00EC31AF">
            <w:pPr>
              <w:pStyle w:val="Header"/>
            </w:pPr>
          </w:p>
        </w:tc>
        <w:tc>
          <w:tcPr>
            <w:tcW w:w="1389" w:type="dxa"/>
          </w:tcPr>
          <w:p w:rsidR="009B669C" w:rsidRDefault="009B669C" w:rsidP="00EC31AF">
            <w:pPr>
              <w:pStyle w:val="Header"/>
            </w:pPr>
          </w:p>
        </w:tc>
        <w:tc>
          <w:tcPr>
            <w:tcW w:w="1388" w:type="dxa"/>
          </w:tcPr>
          <w:p w:rsidR="009B669C" w:rsidRDefault="00AF020D" w:rsidP="00EC31AF">
            <w:pPr>
              <w:pStyle w:val="Header"/>
            </w:pPr>
            <w:r>
              <w:t>X</w:t>
            </w:r>
          </w:p>
        </w:tc>
        <w:tc>
          <w:tcPr>
            <w:tcW w:w="1389" w:type="dxa"/>
          </w:tcPr>
          <w:p w:rsidR="009B669C" w:rsidRDefault="009B669C" w:rsidP="00EC31AF">
            <w:pPr>
              <w:pStyle w:val="Header"/>
            </w:pPr>
            <w:r>
              <w:t>X</w:t>
            </w:r>
          </w:p>
        </w:tc>
        <w:tc>
          <w:tcPr>
            <w:tcW w:w="1659" w:type="dxa"/>
          </w:tcPr>
          <w:p w:rsidR="009B669C" w:rsidRDefault="009B669C" w:rsidP="00EC31AF">
            <w:pPr>
              <w:pStyle w:val="Header"/>
            </w:pPr>
          </w:p>
        </w:tc>
      </w:tr>
      <w:tr w:rsidR="009B669C" w:rsidTr="0032475F">
        <w:tc>
          <w:tcPr>
            <w:tcW w:w="3595" w:type="dxa"/>
            <w:shd w:val="clear" w:color="auto" w:fill="auto"/>
          </w:tcPr>
          <w:p w:rsidR="009B669C" w:rsidRPr="0032475F" w:rsidRDefault="009B669C" w:rsidP="00EC31AF">
            <w:pPr>
              <w:pStyle w:val="Header"/>
            </w:pPr>
            <w:r w:rsidRPr="0032475F">
              <w:rPr>
                <w:highlight w:val="cyan"/>
              </w:rPr>
              <w:t>Teaching &amp; Learning</w:t>
            </w:r>
            <w:r w:rsidR="0032475F">
              <w:t xml:space="preserve">: </w:t>
            </w:r>
            <w:r>
              <w:rPr>
                <w:i/>
              </w:rPr>
              <w:t xml:space="preserve">The commitment to engaging full-time and adjunct faculty in examinations of pedagogy, meaningful professional development, and a central role for them as change agents within the </w:t>
            </w:r>
            <w:r>
              <w:rPr>
                <w:i/>
              </w:rPr>
              <w:lastRenderedPageBreak/>
              <w:t>institution. Also, the college’s commitment to advising, tutoring, and out-of-classroom supports as well as restructuring developmental education to facilitate student learning and success.</w:t>
            </w:r>
            <w:r w:rsidR="00AF020D">
              <w:rPr>
                <w:i/>
              </w:rPr>
              <w:t xml:space="preserve"> </w:t>
            </w:r>
            <w:r w:rsidR="00AF020D" w:rsidRPr="0032475F">
              <w:rPr>
                <w:i/>
                <w:highlight w:val="yellow"/>
              </w:rPr>
              <w:t>(2.8 to __)</w:t>
            </w:r>
          </w:p>
        </w:tc>
        <w:tc>
          <w:tcPr>
            <w:tcW w:w="1388" w:type="dxa"/>
          </w:tcPr>
          <w:p w:rsidR="009B669C" w:rsidRDefault="009B669C" w:rsidP="00EC31AF">
            <w:pPr>
              <w:pStyle w:val="Header"/>
            </w:pPr>
          </w:p>
        </w:tc>
        <w:tc>
          <w:tcPr>
            <w:tcW w:w="1389" w:type="dxa"/>
          </w:tcPr>
          <w:p w:rsidR="009B669C" w:rsidRDefault="00AF020D" w:rsidP="00EC31AF">
            <w:pPr>
              <w:pStyle w:val="Header"/>
            </w:pPr>
            <w:r>
              <w:t>X</w:t>
            </w:r>
          </w:p>
        </w:tc>
        <w:tc>
          <w:tcPr>
            <w:tcW w:w="1388" w:type="dxa"/>
          </w:tcPr>
          <w:p w:rsidR="009B669C" w:rsidRDefault="00AF020D" w:rsidP="00EC31AF">
            <w:pPr>
              <w:pStyle w:val="Header"/>
            </w:pPr>
            <w:r>
              <w:t>X</w:t>
            </w:r>
          </w:p>
        </w:tc>
        <w:tc>
          <w:tcPr>
            <w:tcW w:w="1389" w:type="dxa"/>
          </w:tcPr>
          <w:p w:rsidR="009B669C" w:rsidRDefault="009B669C" w:rsidP="00EC31AF">
            <w:pPr>
              <w:pStyle w:val="Header"/>
            </w:pPr>
          </w:p>
        </w:tc>
        <w:tc>
          <w:tcPr>
            <w:tcW w:w="1388" w:type="dxa"/>
          </w:tcPr>
          <w:p w:rsidR="009B669C" w:rsidRDefault="009B669C" w:rsidP="00EC31AF">
            <w:pPr>
              <w:pStyle w:val="Header"/>
            </w:pPr>
          </w:p>
        </w:tc>
        <w:tc>
          <w:tcPr>
            <w:tcW w:w="1389" w:type="dxa"/>
          </w:tcPr>
          <w:p w:rsidR="009B669C" w:rsidRDefault="00AF020D" w:rsidP="00EC31AF">
            <w:pPr>
              <w:pStyle w:val="Header"/>
            </w:pPr>
            <w:r>
              <w:t>X</w:t>
            </w:r>
          </w:p>
        </w:tc>
        <w:tc>
          <w:tcPr>
            <w:tcW w:w="1659" w:type="dxa"/>
          </w:tcPr>
          <w:p w:rsidR="009B669C" w:rsidRDefault="00AF020D" w:rsidP="00EC31AF">
            <w:pPr>
              <w:pStyle w:val="Header"/>
            </w:pPr>
            <w:r>
              <w:t>X</w:t>
            </w:r>
          </w:p>
        </w:tc>
      </w:tr>
      <w:tr w:rsidR="009B669C" w:rsidTr="0032475F">
        <w:tc>
          <w:tcPr>
            <w:tcW w:w="3595" w:type="dxa"/>
            <w:shd w:val="clear" w:color="auto" w:fill="auto"/>
          </w:tcPr>
          <w:p w:rsidR="009B669C" w:rsidRPr="0032475F" w:rsidRDefault="009B669C" w:rsidP="00EC31AF">
            <w:pPr>
              <w:pStyle w:val="Header"/>
            </w:pPr>
            <w:r w:rsidRPr="0032475F">
              <w:rPr>
                <w:highlight w:val="cyan"/>
              </w:rPr>
              <w:t>Engagement and Communication</w:t>
            </w:r>
            <w:r w:rsidR="0032475F">
              <w:t xml:space="preserve">: </w:t>
            </w:r>
            <w:r>
              <w:rPr>
                <w:i/>
              </w:rPr>
              <w:t>The creation of strategic partnerships with key external stakeholders such as k-12, universities, employers and community based organization, and internal stakeholders across the institution to participate in the student success agenda and improvement of student outcomes.</w:t>
            </w:r>
          </w:p>
          <w:p w:rsidR="00AF020D" w:rsidRPr="00255937" w:rsidRDefault="00AF020D" w:rsidP="00EC31AF">
            <w:pPr>
              <w:pStyle w:val="Header"/>
              <w:rPr>
                <w:i/>
              </w:rPr>
            </w:pPr>
            <w:r w:rsidRPr="0032475F">
              <w:rPr>
                <w:i/>
                <w:highlight w:val="yellow"/>
              </w:rPr>
              <w:t>(2.8 to __)</w:t>
            </w:r>
          </w:p>
        </w:tc>
        <w:tc>
          <w:tcPr>
            <w:tcW w:w="1388" w:type="dxa"/>
          </w:tcPr>
          <w:p w:rsidR="009B669C" w:rsidRDefault="009B669C" w:rsidP="00EC31AF">
            <w:pPr>
              <w:pStyle w:val="Header"/>
            </w:pPr>
          </w:p>
        </w:tc>
        <w:tc>
          <w:tcPr>
            <w:tcW w:w="1389" w:type="dxa"/>
          </w:tcPr>
          <w:p w:rsidR="009B669C" w:rsidRDefault="009B669C" w:rsidP="00EC31AF">
            <w:pPr>
              <w:pStyle w:val="Header"/>
            </w:pPr>
          </w:p>
        </w:tc>
        <w:tc>
          <w:tcPr>
            <w:tcW w:w="1388" w:type="dxa"/>
          </w:tcPr>
          <w:p w:rsidR="009B669C" w:rsidRDefault="00AF020D" w:rsidP="00EC31AF">
            <w:pPr>
              <w:pStyle w:val="Header"/>
            </w:pPr>
            <w:r>
              <w:t>X</w:t>
            </w:r>
          </w:p>
        </w:tc>
        <w:tc>
          <w:tcPr>
            <w:tcW w:w="1389" w:type="dxa"/>
          </w:tcPr>
          <w:p w:rsidR="009B669C" w:rsidRDefault="009B669C" w:rsidP="00EC31AF">
            <w:pPr>
              <w:pStyle w:val="Header"/>
            </w:pPr>
          </w:p>
        </w:tc>
        <w:tc>
          <w:tcPr>
            <w:tcW w:w="1388" w:type="dxa"/>
          </w:tcPr>
          <w:p w:rsidR="009B669C" w:rsidRDefault="009B669C" w:rsidP="00EC31AF">
            <w:pPr>
              <w:pStyle w:val="Header"/>
            </w:pPr>
          </w:p>
        </w:tc>
        <w:tc>
          <w:tcPr>
            <w:tcW w:w="1389" w:type="dxa"/>
          </w:tcPr>
          <w:p w:rsidR="009B669C" w:rsidRDefault="00AF020D" w:rsidP="00EC31AF">
            <w:pPr>
              <w:pStyle w:val="Header"/>
            </w:pPr>
            <w:r>
              <w:t>X</w:t>
            </w:r>
          </w:p>
        </w:tc>
        <w:tc>
          <w:tcPr>
            <w:tcW w:w="1659" w:type="dxa"/>
          </w:tcPr>
          <w:p w:rsidR="009B669C" w:rsidRDefault="00AF020D" w:rsidP="00EC31AF">
            <w:pPr>
              <w:pStyle w:val="Header"/>
            </w:pPr>
            <w:r>
              <w:t>X</w:t>
            </w:r>
          </w:p>
        </w:tc>
      </w:tr>
      <w:tr w:rsidR="009B669C" w:rsidTr="0032475F">
        <w:tc>
          <w:tcPr>
            <w:tcW w:w="3595" w:type="dxa"/>
            <w:shd w:val="clear" w:color="auto" w:fill="auto"/>
          </w:tcPr>
          <w:p w:rsidR="009B669C" w:rsidRPr="0032475F" w:rsidRDefault="009B669C" w:rsidP="00EC31AF">
            <w:pPr>
              <w:pStyle w:val="Header"/>
            </w:pPr>
            <w:r w:rsidRPr="0032475F">
              <w:rPr>
                <w:highlight w:val="cyan"/>
              </w:rPr>
              <w:t>Strategy and Planning</w:t>
            </w:r>
            <w:r w:rsidR="0032475F">
              <w:t xml:space="preserve">: </w:t>
            </w:r>
            <w:r>
              <w:rPr>
                <w:i/>
              </w:rPr>
              <w:t xml:space="preserve">The alignment of the institution with the umbrella goal of student success and the institution’s process for translating the desired future into defined goals and objectives and executing </w:t>
            </w:r>
            <w:r w:rsidR="0032475F">
              <w:rPr>
                <w:i/>
              </w:rPr>
              <w:t>the actions</w:t>
            </w:r>
            <w:r>
              <w:rPr>
                <w:i/>
              </w:rPr>
              <w:t xml:space="preserve"> to achieve them.</w:t>
            </w:r>
            <w:r w:rsidR="00AF020D">
              <w:rPr>
                <w:i/>
              </w:rPr>
              <w:t xml:space="preserve"> </w:t>
            </w:r>
            <w:r w:rsidR="00AF020D" w:rsidRPr="0032475F">
              <w:rPr>
                <w:i/>
                <w:highlight w:val="yellow"/>
              </w:rPr>
              <w:t>(2.8 to __)</w:t>
            </w:r>
          </w:p>
        </w:tc>
        <w:tc>
          <w:tcPr>
            <w:tcW w:w="1388" w:type="dxa"/>
          </w:tcPr>
          <w:p w:rsidR="009B669C" w:rsidRDefault="009B669C" w:rsidP="00EC31AF">
            <w:pPr>
              <w:pStyle w:val="Header"/>
            </w:pPr>
            <w:r>
              <w:t>X</w:t>
            </w:r>
          </w:p>
        </w:tc>
        <w:tc>
          <w:tcPr>
            <w:tcW w:w="1389" w:type="dxa"/>
          </w:tcPr>
          <w:p w:rsidR="009B669C" w:rsidRDefault="009B669C" w:rsidP="00EC31AF">
            <w:pPr>
              <w:pStyle w:val="Header"/>
            </w:pPr>
          </w:p>
        </w:tc>
        <w:tc>
          <w:tcPr>
            <w:tcW w:w="1388" w:type="dxa"/>
          </w:tcPr>
          <w:p w:rsidR="009B669C" w:rsidRDefault="009B669C" w:rsidP="00EC31AF">
            <w:pPr>
              <w:pStyle w:val="Header"/>
            </w:pPr>
          </w:p>
        </w:tc>
        <w:tc>
          <w:tcPr>
            <w:tcW w:w="1389" w:type="dxa"/>
          </w:tcPr>
          <w:p w:rsidR="009B669C" w:rsidRDefault="00AF020D" w:rsidP="00EC31AF">
            <w:pPr>
              <w:pStyle w:val="Header"/>
            </w:pPr>
            <w:r>
              <w:t>X</w:t>
            </w:r>
          </w:p>
        </w:tc>
        <w:tc>
          <w:tcPr>
            <w:tcW w:w="1388" w:type="dxa"/>
          </w:tcPr>
          <w:p w:rsidR="009B669C" w:rsidRDefault="00AF020D" w:rsidP="00EC31AF">
            <w:pPr>
              <w:pStyle w:val="Header"/>
            </w:pPr>
            <w:r>
              <w:t>X</w:t>
            </w:r>
          </w:p>
        </w:tc>
        <w:tc>
          <w:tcPr>
            <w:tcW w:w="1389" w:type="dxa"/>
          </w:tcPr>
          <w:p w:rsidR="009B669C" w:rsidRDefault="009B669C" w:rsidP="00EC31AF">
            <w:pPr>
              <w:pStyle w:val="Header"/>
            </w:pPr>
          </w:p>
        </w:tc>
        <w:tc>
          <w:tcPr>
            <w:tcW w:w="1659" w:type="dxa"/>
          </w:tcPr>
          <w:p w:rsidR="009B669C" w:rsidRDefault="009B669C" w:rsidP="00EC31AF">
            <w:pPr>
              <w:pStyle w:val="Header"/>
            </w:pPr>
          </w:p>
        </w:tc>
      </w:tr>
      <w:tr w:rsidR="009B669C" w:rsidTr="0032475F">
        <w:tc>
          <w:tcPr>
            <w:tcW w:w="3595" w:type="dxa"/>
            <w:shd w:val="clear" w:color="auto" w:fill="auto"/>
          </w:tcPr>
          <w:p w:rsidR="009B669C" w:rsidRPr="0032475F" w:rsidRDefault="009B669C" w:rsidP="00EC31AF">
            <w:pPr>
              <w:pStyle w:val="Header"/>
            </w:pPr>
            <w:r w:rsidRPr="0032475F">
              <w:rPr>
                <w:highlight w:val="cyan"/>
              </w:rPr>
              <w:t>Policies and Practices</w:t>
            </w:r>
            <w:r w:rsidR="0032475F">
              <w:t xml:space="preserve">: </w:t>
            </w:r>
            <w:r>
              <w:rPr>
                <w:i/>
              </w:rPr>
              <w:t>The institutional policies and practices that impact student success and the process for examining and aligning policies and practices to remove barriers and foster student completion</w:t>
            </w:r>
            <w:r w:rsidRPr="0032475F">
              <w:rPr>
                <w:i/>
                <w:highlight w:val="yellow"/>
              </w:rPr>
              <w:t>.</w:t>
            </w:r>
            <w:r w:rsidR="00AF020D" w:rsidRPr="0032475F">
              <w:rPr>
                <w:i/>
                <w:highlight w:val="yellow"/>
              </w:rPr>
              <w:t xml:space="preserve"> (3.1 to __)</w:t>
            </w:r>
          </w:p>
        </w:tc>
        <w:tc>
          <w:tcPr>
            <w:tcW w:w="1388" w:type="dxa"/>
          </w:tcPr>
          <w:p w:rsidR="009B669C" w:rsidRDefault="009B669C" w:rsidP="00EC31AF">
            <w:pPr>
              <w:pStyle w:val="Header"/>
            </w:pPr>
            <w:r>
              <w:t>X</w:t>
            </w:r>
          </w:p>
        </w:tc>
        <w:tc>
          <w:tcPr>
            <w:tcW w:w="1389" w:type="dxa"/>
          </w:tcPr>
          <w:p w:rsidR="009B669C" w:rsidRDefault="00AF020D" w:rsidP="00EC31AF">
            <w:pPr>
              <w:pStyle w:val="Header"/>
            </w:pPr>
            <w:r>
              <w:t>X</w:t>
            </w:r>
          </w:p>
        </w:tc>
        <w:tc>
          <w:tcPr>
            <w:tcW w:w="1388" w:type="dxa"/>
          </w:tcPr>
          <w:p w:rsidR="009B669C" w:rsidRDefault="009B669C" w:rsidP="00EC31AF">
            <w:pPr>
              <w:pStyle w:val="Header"/>
            </w:pPr>
          </w:p>
        </w:tc>
        <w:tc>
          <w:tcPr>
            <w:tcW w:w="1389" w:type="dxa"/>
          </w:tcPr>
          <w:p w:rsidR="009B669C" w:rsidRDefault="009B669C" w:rsidP="00EC31AF">
            <w:pPr>
              <w:pStyle w:val="Header"/>
            </w:pPr>
          </w:p>
        </w:tc>
        <w:tc>
          <w:tcPr>
            <w:tcW w:w="1388" w:type="dxa"/>
          </w:tcPr>
          <w:p w:rsidR="009B669C" w:rsidRDefault="009B669C" w:rsidP="00EC31AF">
            <w:pPr>
              <w:pStyle w:val="Header"/>
            </w:pPr>
          </w:p>
        </w:tc>
        <w:tc>
          <w:tcPr>
            <w:tcW w:w="1389" w:type="dxa"/>
          </w:tcPr>
          <w:p w:rsidR="009B669C" w:rsidRDefault="009B669C" w:rsidP="00EC31AF">
            <w:pPr>
              <w:pStyle w:val="Header"/>
            </w:pPr>
          </w:p>
        </w:tc>
        <w:tc>
          <w:tcPr>
            <w:tcW w:w="1659" w:type="dxa"/>
          </w:tcPr>
          <w:p w:rsidR="009B669C" w:rsidRDefault="009B669C" w:rsidP="00EC31AF">
            <w:pPr>
              <w:pStyle w:val="Header"/>
            </w:pPr>
          </w:p>
        </w:tc>
      </w:tr>
    </w:tbl>
    <w:p w:rsidR="008A5EFB" w:rsidRDefault="008A5EFB"/>
    <w:sectPr w:rsidR="008A5EFB" w:rsidSect="009B669C">
      <w:headerReference w:type="default" r:id="rId7"/>
      <w:footerReference w:type="default" r:id="rId8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4082" w:rsidRDefault="00BA4082" w:rsidP="008A5EFB">
      <w:pPr>
        <w:spacing w:after="0" w:line="240" w:lineRule="auto"/>
      </w:pPr>
      <w:r>
        <w:separator/>
      </w:r>
    </w:p>
  </w:endnote>
  <w:endnote w:type="continuationSeparator" w:id="0">
    <w:p w:rsidR="00BA4082" w:rsidRDefault="00BA4082" w:rsidP="008A5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EFB" w:rsidRDefault="009B669C">
    <w:pPr>
      <w:pStyle w:val="Footer"/>
    </w:pPr>
    <w:r>
      <w:rPr>
        <w:color w:val="4472C4" w:themeColor="accent1"/>
      </w:rPr>
      <w:t>Office of the President</w:t>
    </w:r>
    <w:r w:rsidRPr="009B669C">
      <w:rPr>
        <w:color w:val="4472C4" w:themeColor="accent1"/>
      </w:rPr>
      <w:ptab w:relativeTo="margin" w:alignment="center" w:leader="none"/>
    </w:r>
    <w:r>
      <w:rPr>
        <w:color w:val="4472C4" w:themeColor="accent1"/>
      </w:rPr>
      <w:t>October 3, 2017</w:t>
    </w:r>
    <w:r w:rsidRPr="009B669C">
      <w:rPr>
        <w:color w:val="4472C4" w:themeColor="accent1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4082" w:rsidRDefault="00BA4082" w:rsidP="008A5EFB">
      <w:pPr>
        <w:spacing w:after="0" w:line="240" w:lineRule="auto"/>
      </w:pPr>
      <w:r>
        <w:separator/>
      </w:r>
    </w:p>
  </w:footnote>
  <w:footnote w:type="continuationSeparator" w:id="0">
    <w:p w:rsidR="00BA4082" w:rsidRDefault="00BA4082" w:rsidP="008A5E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0403275"/>
      <w:docPartObj>
        <w:docPartGallery w:val="Page Numbers (Top of Page)"/>
        <w:docPartUnique/>
      </w:docPartObj>
    </w:sdtPr>
    <w:sdtEndPr>
      <w:rPr>
        <w:noProof/>
      </w:rPr>
    </w:sdtEndPr>
    <w:sdtContent>
      <w:p w:rsidR="009B669C" w:rsidRDefault="009B669C">
        <w:pPr>
          <w:pStyle w:val="Head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684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B669C" w:rsidRDefault="009B669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EFB"/>
    <w:rsid w:val="00255937"/>
    <w:rsid w:val="0032475F"/>
    <w:rsid w:val="003A34D8"/>
    <w:rsid w:val="003A6843"/>
    <w:rsid w:val="00533227"/>
    <w:rsid w:val="00576B60"/>
    <w:rsid w:val="00693A77"/>
    <w:rsid w:val="006D5A65"/>
    <w:rsid w:val="008925AE"/>
    <w:rsid w:val="008A4F40"/>
    <w:rsid w:val="008A5EFB"/>
    <w:rsid w:val="009B669C"/>
    <w:rsid w:val="00A82AB8"/>
    <w:rsid w:val="00AF020D"/>
    <w:rsid w:val="00B20D69"/>
    <w:rsid w:val="00BA4082"/>
    <w:rsid w:val="00CA3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6EE2CB"/>
  <w15:chartTrackingRefBased/>
  <w15:docId w15:val="{B5AE4BED-9D4D-4E6B-9605-E5D67D912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47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5E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EFB"/>
  </w:style>
  <w:style w:type="paragraph" w:styleId="Footer">
    <w:name w:val="footer"/>
    <w:basedOn w:val="Normal"/>
    <w:link w:val="FooterChar"/>
    <w:uiPriority w:val="99"/>
    <w:unhideWhenUsed/>
    <w:rsid w:val="008A5E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EFB"/>
  </w:style>
  <w:style w:type="paragraph" w:styleId="Quote">
    <w:name w:val="Quote"/>
    <w:basedOn w:val="Normal"/>
    <w:next w:val="Normal"/>
    <w:link w:val="QuoteChar"/>
    <w:uiPriority w:val="29"/>
    <w:qFormat/>
    <w:rsid w:val="008A5EF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A5EFB"/>
    <w:rPr>
      <w:i/>
      <w:iCs/>
      <w:color w:val="404040" w:themeColor="text1" w:themeTint="BF"/>
    </w:rPr>
  </w:style>
  <w:style w:type="table" w:styleId="TableGrid">
    <w:name w:val="Table Grid"/>
    <w:basedOn w:val="TableNormal"/>
    <w:uiPriority w:val="39"/>
    <w:rsid w:val="008A5E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475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8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8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ADD0E-4511-48DF-84EB-F83C8AB09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Birgitte Ryslinge</dc:creator>
  <cp:keywords/>
  <dc:description/>
  <cp:lastModifiedBy>Birgitte Ryslinge</cp:lastModifiedBy>
  <cp:revision>3</cp:revision>
  <cp:lastPrinted>2017-10-04T15:22:00Z</cp:lastPrinted>
  <dcterms:created xsi:type="dcterms:W3CDTF">2017-10-03T18:19:00Z</dcterms:created>
  <dcterms:modified xsi:type="dcterms:W3CDTF">2017-10-04T23:06:00Z</dcterms:modified>
</cp:coreProperties>
</file>